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tbl>
      <w:tblPr>
        <w:bidiVisual w:val="off"/>
        <w:tblW w:w="0" w:type="auto"/>
        <w:jc w:val="left"/>
        <w:tblBorders>
          <w:top w:val="none" w:sz="4" w:space="0"/>
          <w:left w:val="none" w:sz="4" w:space="0"/>
          <w:bottom w:val="none" w:sz="4" w:space="0"/>
          <w:right w:val="none" w:sz="4" w:space="0"/>
          <w:insideH w:val="none" w:sz="4" w:space="0"/>
          <w:insideV w:val="none" w:sz="4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305"/>
        <w:gridCol w:w="1305"/>
        <w:gridCol w:w="5205"/>
        <w:gridCol w:w="1305"/>
        <w:gridCol w:w="1305"/>
      </w:tblGrid>
      <w:tr>
        <w:trPr>
          <w:wBefore w:w="0" w:type="dxa"/>
          <w:jc w:val="left"/>
        </w:trPr>
        <w:tc>
          <w:tcPr>
            <w:cnfStyle w:val="100010000000"/>
            <w:tcW w:w="10425" w:type="dxa"/>
            <w:gridSpan w:val="5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01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Verdana"/>
                <w:color w:val="000000"/>
                <w:sz w:val="20"/>
                <w:szCs w:val="26"/>
                <w:lang w:val="en-US"/>
              </w:rPr>
            </w:pPr>
            <w:r>
              <w:rPr>
                <w:rFonts w:ascii="Verdana"/>
                <w:b/>
                <w:color w:val="000000"/>
                <w:sz w:val="40"/>
                <w:szCs w:val="26"/>
                <w:rtl w:val="off"/>
                <w:lang w:val="en-US"/>
              </w:rPr>
              <w:t>«РОЖДЕСТВЕНСКОЕ ВОЛШЕСТВО ГЕРМАНИИ»</w:t>
            </w:r>
          </w:p>
          <w:p w14:paraId="00000002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Verdana"/>
                <w:color w:val="000000"/>
                <w:sz w:val="20"/>
                <w:szCs w:val="26"/>
                <w:lang w:val="en-US"/>
              </w:rPr>
            </w:pPr>
            <w:r>
              <w:rPr>
                <w:rFonts w:ascii="Verdana"/>
                <w:b/>
                <w:color w:val="000000"/>
                <w:sz w:val="40"/>
                <w:szCs w:val="26"/>
                <w:rtl w:val="off"/>
                <w:lang w:val="en-US"/>
              </w:rPr>
              <w:t>ШВЕРИН – ВИСМАР – ЛЮБЕК – ГАМБУРГ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10425" w:type="dxa"/>
            <w:gridSpan w:val="5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03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Verdana"/>
                <w:color w:val="000000"/>
                <w:sz w:val="20"/>
                <w:szCs w:val="26"/>
                <w:lang w:val="en-US"/>
              </w:rPr>
            </w:pPr>
            <w:r>
              <w:rPr>
                <w:rFonts w:ascii="Verdana"/>
                <w:b/>
                <w:color w:val="000000"/>
                <w:sz w:val="20"/>
                <w:szCs w:val="26"/>
                <w:rtl w:val="off"/>
                <w:lang w:val="en-US"/>
              </w:rPr>
              <w:t>5 дней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1305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04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Verdana"/>
                <w:color w:val="000000"/>
                <w:sz w:val="20"/>
                <w:szCs w:val="26"/>
                <w:lang w:val="en-US"/>
              </w:rPr>
            </w:pPr>
            <w:r>
              <w:rPr>
                <w:rFonts w:ascii="Verdana"/>
                <w:b/>
                <w:color w:val="000000"/>
                <w:sz w:val="20"/>
                <w:szCs w:val="26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1305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05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Verdana"/>
                <w:color w:val="000000"/>
                <w:sz w:val="20"/>
                <w:szCs w:val="26"/>
                <w:lang w:val="en-US"/>
              </w:rPr>
            </w:pPr>
            <w:r>
              <w:rPr>
                <w:rFonts w:ascii="Verdana"/>
                <w:b/>
                <w:color w:val="000000"/>
                <w:sz w:val="20"/>
                <w:szCs w:val="26"/>
                <w:rtl w:val="off"/>
                <w:lang w:val="en-US"/>
              </w:rPr>
              <w:t xml:space="preserve"> </w:t>
            </w:r>
          </w:p>
        </w:tc>
        <w:tc>
          <w:tcPr>
            <w:cnfStyle w:val="000010000000"/>
            <w:tcW w:w="5205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06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Verdana"/>
                <w:color w:val="000000"/>
                <w:sz w:val="20"/>
                <w:szCs w:val="26"/>
                <w:lang w:val="en-US"/>
              </w:rPr>
            </w:pPr>
            <w:r>
              <w:rPr>
                <w:rFonts w:ascii="Verdana"/>
                <w:b/>
                <w:color w:val="000000"/>
                <w:sz w:val="20"/>
                <w:szCs w:val="26"/>
                <w:rtl w:val="off"/>
                <w:lang w:val="en-US"/>
              </w:rPr>
              <w:t>09.12.2026 – 13.12.2026</w:t>
            </w:r>
          </w:p>
        </w:tc>
        <w:tc>
          <w:tcPr>
            <w:cnfStyle w:val="000001000000"/>
            <w:tcW w:w="1305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07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Verdana"/>
                <w:color w:val="000000"/>
                <w:sz w:val="20"/>
                <w:szCs w:val="26"/>
                <w:lang w:val="en-US"/>
              </w:rPr>
            </w:pPr>
            <w:r>
              <w:rPr>
                <w:rFonts w:ascii="Verdana"/>
                <w:b/>
                <w:color w:val="000000"/>
                <w:sz w:val="20"/>
                <w:szCs w:val="26"/>
                <w:rtl w:val="off"/>
                <w:lang w:val="en-US"/>
              </w:rPr>
              <w:t xml:space="preserve"> </w:t>
            </w:r>
          </w:p>
        </w:tc>
        <w:tc>
          <w:tcPr>
            <w:cnfStyle w:val="000010000000"/>
            <w:tcW w:w="1305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08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Verdana"/>
                <w:color w:val="000000"/>
                <w:sz w:val="20"/>
                <w:szCs w:val="26"/>
                <w:lang w:val="en-US"/>
              </w:rPr>
            </w:pPr>
            <w:r>
              <w:rPr>
                <w:rFonts w:ascii="Verdana"/>
                <w:b/>
                <w:color w:val="000000"/>
                <w:sz w:val="20"/>
                <w:szCs w:val="26"/>
                <w:rtl w:val="off"/>
                <w:lang w:val="en-US"/>
              </w:rPr>
              <w:t xml:space="preserve"> </w:t>
            </w:r>
          </w:p>
        </w:tc>
      </w:tr>
    </w:tbl>
    <w:p w14:paraId="00000009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Verdana"/>
          <w:color w:val="000000"/>
          <w:sz w:val="20"/>
          <w:szCs w:val="26"/>
          <w:lang w:val="en-US"/>
        </w:rPr>
      </w:pPr>
      <w:r>
        <w:rPr>
          <w:rFonts w:ascii="Verdana"/>
          <w:b/>
          <w:color w:val="000000"/>
          <w:sz w:val="20"/>
          <w:szCs w:val="26"/>
          <w:rtl w:val="off"/>
          <w:lang w:val="en-US"/>
        </w:rPr>
        <w:t xml:space="preserve"> </w:t>
      </w:r>
    </w:p>
    <w:tbl>
      <w:tblPr>
        <w:bidiVisual w:val="off"/>
        <w:tblW w:w="0" w:type="auto"/>
        <w:jc w:val="left"/>
        <w:tblBorders>
          <w:top w:val="none" w:sz="4" w:space="0"/>
          <w:left w:val="none" w:sz="4" w:space="0"/>
          <w:bottom w:val="none" w:sz="4" w:space="0"/>
          <w:right w:val="none" w:sz="4" w:space="0"/>
          <w:insideH w:val="none" w:sz="4" w:space="0"/>
          <w:insideV w:val="none" w:sz="4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465"/>
        <w:gridCol w:w="3480"/>
        <w:gridCol w:w="3480"/>
      </w:tblGrid>
      <w:tr>
        <w:trPr>
          <w:cnfStyle w:val="100000000000"/>
          <w:wBefore w:w="0" w:type="dxa"/>
          <w:jc w:val="left"/>
        </w:trPr>
        <w:tc>
          <w:tcPr>
            <w:cnfStyle w:val="100010000000"/>
            <w:tcW w:w="34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0A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Verdana"/>
                <w:color w:val="000000"/>
                <w:sz w:val="20"/>
                <w:szCs w:val="26"/>
                <w:lang w:val="en-US"/>
              </w:rPr>
            </w:pPr>
            <w:r>
              <w:rPr>
                <w:rFonts w:ascii="Verdana"/>
                <w:b/>
                <w:color w:val="000000"/>
                <w:sz w:val="20"/>
                <w:szCs w:val="26"/>
                <w:rtl w:val="off"/>
                <w:lang w:val="en-US"/>
              </w:rPr>
              <w:t>СТОИМОСТЬ ТУРА</w:t>
            </w:r>
          </w:p>
        </w:tc>
        <w:tc>
          <w:tcPr>
            <w:cnfStyle w:val="100001000000"/>
            <w:tcW w:w="34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0B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Verdana"/>
                <w:color w:val="000000"/>
                <w:sz w:val="20"/>
                <w:szCs w:val="26"/>
                <w:lang w:val="en-US"/>
              </w:rPr>
            </w:pPr>
            <w:r>
              <w:rPr>
                <w:rFonts w:ascii="Verdana"/>
                <w:b/>
                <w:color w:val="000000"/>
                <w:sz w:val="20"/>
                <w:szCs w:val="26"/>
                <w:rtl w:val="off"/>
                <w:lang w:val="en-US"/>
              </w:rPr>
              <w:t>Место в 2-3-х местном номере</w:t>
            </w:r>
          </w:p>
        </w:tc>
        <w:tc>
          <w:tcPr>
            <w:cnfStyle w:val="100010000000"/>
            <w:tcW w:w="34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0C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Verdana"/>
                <w:color w:val="000000"/>
                <w:sz w:val="20"/>
                <w:szCs w:val="26"/>
                <w:lang w:val="en-US"/>
              </w:rPr>
            </w:pPr>
            <w:r>
              <w:rPr>
                <w:rFonts w:ascii="Verdana"/>
                <w:b/>
                <w:color w:val="000000"/>
                <w:sz w:val="20"/>
                <w:szCs w:val="26"/>
                <w:rtl w:val="off"/>
                <w:lang w:val="en-US"/>
              </w:rPr>
              <w:t>Одноместный номер</w:t>
            </w:r>
          </w:p>
        </w:tc>
      </w:tr>
      <w:tr>
        <w:trPr>
          <w:cnfStyle w:val="000000000000"/>
          <w:wBefore w:w="0" w:type="dxa"/>
          <w:jc w:val="left"/>
        </w:trPr>
        <w:tc>
          <w:tcPr>
            <w:cnfStyle w:val="000010000000"/>
            <w:tcW w:w="3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0D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Verdana"/>
                <w:color w:val="000000"/>
                <w:sz w:val="20"/>
                <w:szCs w:val="26"/>
                <w:lang w:val="en-US"/>
              </w:rPr>
            </w:pPr>
          </w:p>
        </w:tc>
        <w:tc>
          <w:tcPr>
            <w:cnfStyle w:val="000001000000"/>
            <w:tcW w:w="3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0E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Verdana"/>
                <w:color w:val="000000"/>
                <w:sz w:val="20"/>
                <w:szCs w:val="26"/>
                <w:lang w:val="en-US"/>
              </w:rPr>
            </w:pPr>
            <w:r>
              <w:rPr>
                <w:rFonts w:ascii="Verdana"/>
                <w:b/>
                <w:color w:val="000000"/>
                <w:sz w:val="20"/>
                <w:szCs w:val="26"/>
                <w:rtl w:val="off"/>
                <w:lang w:val="en-US"/>
              </w:rPr>
              <w:t>395 €</w:t>
            </w:r>
            <w:r>
              <w:rPr>
                <w:rFonts w:ascii="Verdana"/>
                <w:b/>
                <w:color w:val="000000"/>
                <w:sz w:val="20"/>
                <w:szCs w:val="26"/>
                <w:rtl w:val="off"/>
                <w:lang w:val="en-US"/>
              </w:rPr>
              <w:t>+25</w:t>
            </w:r>
            <w:r>
              <w:rPr>
                <w:rFonts w:ascii="Verdana"/>
                <w:b/>
                <w:color w:val="000000"/>
                <w:sz w:val="20"/>
                <w:szCs w:val="26"/>
                <w:rtl w:val="off"/>
                <w:lang w:val="en-US"/>
              </w:rPr>
              <w:t>0 руб.</w:t>
            </w:r>
          </w:p>
        </w:tc>
        <w:tc>
          <w:tcPr>
            <w:cnfStyle w:val="000010000000"/>
            <w:tcW w:w="3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0F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Verdana"/>
                <w:color w:val="000000"/>
                <w:sz w:val="20"/>
                <w:szCs w:val="26"/>
                <w:lang w:val="en-US"/>
              </w:rPr>
            </w:pPr>
            <w:r>
              <w:rPr>
                <w:rFonts w:ascii="Verdana"/>
                <w:b/>
                <w:color w:val="000000"/>
                <w:sz w:val="20"/>
                <w:szCs w:val="26"/>
                <w:rtl w:val="off"/>
                <w:lang w:val="en-US"/>
              </w:rPr>
              <w:t>495 €+250 руб.</w:t>
            </w:r>
          </w:p>
        </w:tc>
      </w:tr>
    </w:tbl>
    <w:p w14:paraId="00000010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Verdana"/>
          <w:color w:val="000000"/>
          <w:sz w:val="20"/>
          <w:szCs w:val="26"/>
          <w:lang w:val="en-US"/>
        </w:rPr>
      </w:pPr>
    </w:p>
    <w:tbl>
      <w:tblPr>
        <w:bidiVisual w:val="off"/>
        <w:tblW w:w="0" w:type="auto"/>
        <w:jc w:val="left"/>
        <w:tblBorders>
          <w:top w:val="none" w:sz="4" w:space="0"/>
          <w:left w:val="none" w:sz="4" w:space="0"/>
          <w:bottom w:val="none" w:sz="4" w:space="0"/>
          <w:right w:val="none" w:sz="4" w:space="0"/>
          <w:insideH w:val="none" w:sz="4" w:space="0"/>
          <w:insideV w:val="none" w:sz="4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465"/>
        <w:gridCol w:w="3480"/>
        <w:gridCol w:w="3480"/>
      </w:tblGrid>
      <w:tr>
        <w:trPr>
          <w:gridAfter w:val="1"/>
          <w:wBefore w:w="0" w:type="dxa"/>
          <w:wAfter w:w="3480" w:type="dxa"/>
          <w:jc w:val="left"/>
        </w:trPr>
        <w:tc>
          <w:tcPr>
            <w:cnfStyle w:val="100010000000"/>
            <w:tcW w:w="3465" w:type="dxa"/>
            <w:vMerge w:val="continue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11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Verdana"/>
                <w:color w:val="000000"/>
                <w:sz w:val="20"/>
                <w:szCs w:val="26"/>
                <w:lang w:val="en-US"/>
              </w:rPr>
            </w:pPr>
          </w:p>
        </w:tc>
        <w:tc>
          <w:tcPr>
            <w:cnfStyle w:val="100001000000"/>
            <w:tcW w:w="3480" w:type="dxa"/>
            <w:vMerge w:val="restart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12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Verdana"/>
                <w:color w:val="000000"/>
                <w:sz w:val="20"/>
                <w:szCs w:val="26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10425" w:type="dxa"/>
            <w:gridSpan w:val="3"/>
            <w:vMerge w:val="restart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13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Verdana"/>
                <w:color w:val="000000"/>
                <w:sz w:val="20"/>
                <w:szCs w:val="26"/>
                <w:lang w:val="en-US"/>
              </w:rPr>
            </w:pPr>
            <w:r>
              <w:rPr>
                <w:rFonts w:ascii="Verdana"/>
                <w:b/>
                <w:i/>
                <w:color w:val="000000"/>
                <w:sz w:val="20"/>
                <w:szCs w:val="26"/>
                <w:rtl w:val="off"/>
                <w:lang w:val="en-US"/>
              </w:rPr>
              <w:t xml:space="preserve"> Оплата производится в белорусских рублях по курсу НБРБ + 3%</w:t>
            </w:r>
          </w:p>
        </w:tc>
      </w:tr>
    </w:tbl>
    <w:p w14:paraId="00000014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Verdana"/>
          <w:color w:val="000000"/>
          <w:sz w:val="20"/>
          <w:szCs w:val="26"/>
          <w:lang w:val="en-US"/>
        </w:rPr>
      </w:pPr>
      <w:r>
        <w:rPr>
          <w:rFonts w:ascii="Verdana"/>
          <w:b/>
          <w:color w:val="000000"/>
          <w:sz w:val="20"/>
          <w:szCs w:val="26"/>
          <w:rtl w:val="off"/>
          <w:lang w:val="en-US"/>
        </w:rPr>
        <w:t xml:space="preserve"> </w:t>
      </w:r>
    </w:p>
    <w:tbl>
      <w:tblPr>
        <w:bidiVisual w:val="off"/>
        <w:tblW w:w="0" w:type="auto"/>
        <w:jc w:val="left"/>
        <w:tblBorders>
          <w:top w:val="none" w:sz="4" w:space="0"/>
          <w:left w:val="none" w:sz="4" w:space="0"/>
          <w:bottom w:val="none" w:sz="4" w:space="0"/>
          <w:right w:val="none" w:sz="4" w:space="0"/>
          <w:insideH w:val="none" w:sz="4" w:space="0"/>
          <w:insideV w:val="none" w:sz="4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425"/>
      </w:tblGrid>
      <w:tr>
        <w:trPr>
          <w:wBefore w:w="0" w:type="dxa"/>
          <w:jc w:val="left"/>
        </w:trPr>
        <w:tc>
          <w:tcPr>
            <w:cnfStyle w:val="100010000000"/>
            <w:tcW w:w="10425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15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Verdana"/>
                <w:color w:val="000000"/>
                <w:sz w:val="20"/>
                <w:szCs w:val="26"/>
                <w:lang w:val="en-US"/>
              </w:rPr>
            </w:pPr>
            <w:r>
              <w:rPr>
                <w:rFonts w:ascii="Verdana"/>
                <w:b/>
                <w:color w:val="000000"/>
                <w:sz w:val="20"/>
                <w:szCs w:val="26"/>
                <w:rtl w:val="off"/>
                <w:lang w:val="en-US"/>
              </w:rPr>
              <w:t xml:space="preserve">Стоимость тура включает: </w:t>
            </w:r>
            <w:r>
              <w:rPr>
                <w:rFonts w:ascii="Verdana"/>
                <w:color w:val="000000"/>
                <w:sz w:val="20"/>
                <w:szCs w:val="26"/>
                <w:rtl w:val="off"/>
                <w:lang w:val="en-US"/>
              </w:rPr>
              <w:t>проезд автобусом, 3 ночлега в Германии, завтраки в отелях, экскурсионное обслуживание без входных билетов.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10425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16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Verdana"/>
                <w:color w:val="000000"/>
                <w:sz w:val="20"/>
                <w:szCs w:val="26"/>
                <w:lang w:val="en-US"/>
              </w:rPr>
            </w:pPr>
            <w:r>
              <w:rPr>
                <w:rFonts w:ascii="Verdana"/>
                <w:b/>
                <w:color w:val="000000"/>
                <w:sz w:val="20"/>
                <w:szCs w:val="26"/>
                <w:rtl w:val="off"/>
                <w:lang w:val="en-US"/>
              </w:rPr>
              <w:t xml:space="preserve">Стоимость тура не включает: </w:t>
            </w:r>
            <w:r>
              <w:rPr>
                <w:rFonts w:ascii="Verdana"/>
                <w:color w:val="000000"/>
                <w:sz w:val="20"/>
                <w:szCs w:val="26"/>
                <w:rtl w:val="off"/>
                <w:lang w:val="en-US"/>
              </w:rPr>
              <w:t>медицинскую страховку, входной билет в Шверинский замок (13 евро), городской налог в отелях (5 евро за все ночлеги), использование наушников во время экскурсий (10 евро за все экскурсии).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10425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17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Verdana"/>
                <w:color w:val="000000"/>
                <w:sz w:val="20"/>
                <w:szCs w:val="26"/>
                <w:lang w:val="en-US"/>
              </w:rPr>
            </w:pPr>
            <w:r>
              <w:rPr>
                <w:rFonts w:ascii="Verdana"/>
                <w:b/>
                <w:color w:val="000000"/>
                <w:sz w:val="20"/>
                <w:szCs w:val="26"/>
                <w:rtl w:val="off"/>
                <w:lang w:val="en-US"/>
              </w:rPr>
              <w:t xml:space="preserve">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10425" w:type="dxa"/>
            <w:tcBorders>
              <w:top w:val="none" w:sz="4" w:space="0"/>
              <w:left w:val="none" w:sz="4" w:space="0"/>
              <w:bottom w:val="none" w:sz="4" w:space="0"/>
              <w:right w:val="none" w:sz="4" w:space="0"/>
            </w:tcBorders>
            <w:vAlign w:val="top"/>
          </w:tcPr>
          <w:p w14:paraId="00000018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Verdana"/>
                <w:color w:val="000000"/>
                <w:sz w:val="20"/>
                <w:szCs w:val="26"/>
                <w:lang w:val="en-US"/>
              </w:rPr>
            </w:pPr>
            <w:r>
              <w:rPr>
                <w:rFonts w:ascii="Verdana"/>
                <w:b/>
                <w:color w:val="000000"/>
                <w:sz w:val="20"/>
                <w:szCs w:val="26"/>
                <w:rtl w:val="off"/>
                <w:lang w:val="en-US"/>
              </w:rPr>
              <w:t>ПРОГРАММА ТУРА</w:t>
            </w:r>
            <w:r>
              <w:rPr>
                <w:rFonts w:ascii="Verdana"/>
                <w:color w:val="000000"/>
                <w:sz w:val="20"/>
                <w:szCs w:val="26"/>
                <w:rtl w:val="off"/>
                <w:lang w:val="en-US"/>
              </w:rPr>
              <w:t>:</w:t>
            </w:r>
          </w:p>
        </w:tc>
      </w:tr>
    </w:tbl>
    <w:p w14:paraId="00000019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Verdana"/>
          <w:color w:val="000000"/>
          <w:sz w:val="20"/>
          <w:szCs w:val="26"/>
          <w:lang w:val="en-US"/>
        </w:rPr>
      </w:pPr>
      <w:r>
        <w:rPr>
          <w:rFonts w:ascii="Verdana"/>
          <w:b/>
          <w:color w:val="000000"/>
          <w:sz w:val="20"/>
          <w:szCs w:val="26"/>
          <w:rtl w:val="off"/>
          <w:lang w:val="en-US"/>
        </w:rPr>
        <w:t xml:space="preserve"> </w:t>
      </w:r>
    </w:p>
    <w:tbl>
      <w:tblPr>
        <w:bidiVisual w:val="off"/>
        <w:tblW w:w="0" w:type="auto"/>
        <w:jc w:val="left"/>
        <w:tblBorders>
          <w:top w:val="none" w:sz="4" w:space="0"/>
          <w:left w:val="none" w:sz="4" w:space="0"/>
          <w:bottom w:val="none" w:sz="4" w:space="0"/>
          <w:right w:val="none" w:sz="4" w:space="0"/>
          <w:insideH w:val="none" w:sz="4" w:space="0"/>
          <w:insideV w:val="none" w:sz="4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95"/>
        <w:gridCol w:w="9465"/>
      </w:tblGrid>
      <w:tr>
        <w:trPr>
          <w:wBefore w:w="0" w:type="dxa"/>
          <w:jc w:val="left"/>
        </w:trPr>
        <w:tc>
          <w:tcPr>
            <w:cnfStyle w:val="100010000000"/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1A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Verdana"/>
                <w:color w:val="000000"/>
                <w:sz w:val="20"/>
                <w:szCs w:val="26"/>
                <w:lang w:val="en-US"/>
              </w:rPr>
            </w:pPr>
            <w:r>
              <w:rPr>
                <w:rFonts w:ascii="Verdana"/>
                <w:b/>
                <w:color w:val="000000"/>
                <w:sz w:val="20"/>
                <w:szCs w:val="26"/>
                <w:rtl w:val="off"/>
                <w:lang w:val="en-US"/>
              </w:rPr>
              <w:t>1 день:</w:t>
            </w:r>
          </w:p>
          <w:p w14:paraId="0000001B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Verdana"/>
                <w:color w:val="000000"/>
                <w:sz w:val="20"/>
                <w:szCs w:val="26"/>
                <w:lang w:val="en-US"/>
              </w:rPr>
            </w:pPr>
            <w:r>
              <w:rPr>
                <w:rFonts w:ascii="Verdana"/>
                <w:b/>
                <w:color w:val="000000"/>
                <w:sz w:val="20"/>
                <w:szCs w:val="26"/>
                <w:rtl w:val="off"/>
                <w:lang w:val="en-US"/>
              </w:rPr>
              <w:t>09.12.26</w:t>
            </w:r>
          </w:p>
        </w:tc>
        <w:tc>
          <w:tcPr>
            <w:cnfStyle w:val="100001000000"/>
            <w:tcW w:w="9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1C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Verdana"/>
                <w:color w:val="000000"/>
                <w:sz w:val="20"/>
                <w:szCs w:val="26"/>
                <w:lang w:val="en-US"/>
              </w:rPr>
            </w:pPr>
            <w:r>
              <w:rPr>
                <w:rFonts w:ascii="Verdana"/>
                <w:color w:val="000000"/>
                <w:sz w:val="20"/>
                <w:szCs w:val="26"/>
                <w:rtl w:val="off"/>
                <w:lang w:val="en-US"/>
              </w:rPr>
              <w:t>Ранний выезд из Минска (возможен выезд накануне днём в зависимости от ситуации на границе). Транзит по территории РП, Германии. Ночлег в Германии.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1D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Verdana"/>
                <w:color w:val="000000"/>
                <w:sz w:val="20"/>
                <w:szCs w:val="26"/>
                <w:lang w:val="en-US"/>
              </w:rPr>
            </w:pPr>
            <w:r>
              <w:rPr>
                <w:rFonts w:ascii="Verdana"/>
                <w:b/>
                <w:color w:val="000000"/>
                <w:sz w:val="20"/>
                <w:szCs w:val="26"/>
                <w:rtl w:val="off"/>
                <w:lang w:val="en-US"/>
              </w:rPr>
              <w:t>2 день:</w:t>
            </w:r>
          </w:p>
          <w:p w14:paraId="0000001E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Verdana"/>
                <w:color w:val="000000"/>
                <w:sz w:val="20"/>
                <w:szCs w:val="26"/>
                <w:lang w:val="en-US"/>
              </w:rPr>
            </w:pPr>
            <w:r>
              <w:rPr>
                <w:rFonts w:ascii="Verdana"/>
                <w:b/>
                <w:color w:val="000000"/>
                <w:sz w:val="20"/>
                <w:szCs w:val="26"/>
                <w:rtl w:val="off"/>
                <w:lang w:val="en-US"/>
              </w:rPr>
              <w:t>10.12.26</w:t>
            </w:r>
          </w:p>
        </w:tc>
        <w:tc>
          <w:tcPr>
            <w:cnfStyle w:val="000001000000"/>
            <w:tcW w:w="9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1F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Verdana"/>
                <w:color w:val="000000"/>
                <w:sz w:val="20"/>
                <w:szCs w:val="26"/>
                <w:lang w:val="en-US"/>
              </w:rPr>
            </w:pPr>
            <w:r>
              <w:rPr>
                <w:rFonts w:ascii="Verdana"/>
                <w:color w:val="000000"/>
                <w:sz w:val="20"/>
                <w:szCs w:val="26"/>
                <w:rtl w:val="off"/>
                <w:lang w:val="en-US"/>
              </w:rPr>
              <w:t xml:space="preserve">Завтрак. Выезд в </w:t>
            </w:r>
            <w:r>
              <w:rPr>
                <w:rFonts w:ascii="Verdana"/>
                <w:b/>
                <w:color w:val="000000"/>
                <w:sz w:val="20"/>
                <w:szCs w:val="26"/>
                <w:rtl w:val="off"/>
                <w:lang w:val="en-US"/>
              </w:rPr>
              <w:t>Шверин</w:t>
            </w:r>
            <w:r>
              <w:rPr>
                <w:rFonts w:ascii="Verdana"/>
                <w:color w:val="000000"/>
                <w:sz w:val="20"/>
                <w:szCs w:val="26"/>
                <w:rtl w:val="off"/>
                <w:lang w:val="en-US"/>
              </w:rPr>
              <w:t xml:space="preserve"> – столицу земли Мекленбург-Передняя Померания. Город живописно расположен на 12 озерах и известен своим сказочным замком на острове, бывшей резиденцией герцогов Мекленбургских (памятник Юнеско). Обзорная экскурсия по городу с посещением Шверинского замка: Ратушная площадь, площадь мясников, Шверинский собор, дворцовый остров с замком и парком и др. Свободное время для посещения Рождественского рынка, рождественских и новогодних покупок.</w:t>
            </w:r>
          </w:p>
          <w:p w14:paraId="00000020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Verdana"/>
                <w:color w:val="000000"/>
                <w:sz w:val="20"/>
                <w:szCs w:val="26"/>
                <w:lang w:val="en-US"/>
              </w:rPr>
            </w:pPr>
            <w:r>
              <w:rPr>
                <w:rFonts w:ascii="Verdana"/>
                <w:color w:val="000000"/>
                <w:sz w:val="20"/>
                <w:szCs w:val="26"/>
                <w:rtl w:val="off"/>
                <w:lang w:val="en-US"/>
              </w:rPr>
              <w:t>Ночлег в Германии.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21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Verdana"/>
                <w:color w:val="000000"/>
                <w:sz w:val="20"/>
                <w:szCs w:val="26"/>
                <w:lang w:val="en-US"/>
              </w:rPr>
            </w:pPr>
            <w:r>
              <w:rPr>
                <w:rFonts w:ascii="Verdana"/>
                <w:b/>
                <w:color w:val="000000"/>
                <w:sz w:val="20"/>
                <w:szCs w:val="26"/>
                <w:rtl w:val="off"/>
                <w:lang w:val="en-US"/>
              </w:rPr>
              <w:t>3 день:</w:t>
            </w:r>
          </w:p>
          <w:p w14:paraId="00000022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Verdana"/>
                <w:color w:val="000000"/>
                <w:sz w:val="20"/>
                <w:szCs w:val="26"/>
                <w:lang w:val="en-US"/>
              </w:rPr>
            </w:pPr>
            <w:r>
              <w:rPr>
                <w:rFonts w:ascii="Verdana"/>
                <w:b/>
                <w:color w:val="000000"/>
                <w:sz w:val="20"/>
                <w:szCs w:val="26"/>
                <w:rtl w:val="off"/>
                <w:lang w:val="en-US"/>
              </w:rPr>
              <w:t>11.12.26</w:t>
            </w:r>
          </w:p>
        </w:tc>
        <w:tc>
          <w:tcPr>
            <w:cnfStyle w:val="000001000000"/>
            <w:tcW w:w="9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23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Verdana"/>
                <w:color w:val="000000"/>
                <w:sz w:val="20"/>
                <w:szCs w:val="26"/>
                <w:lang w:val="en-US"/>
              </w:rPr>
            </w:pPr>
            <w:r>
              <w:rPr>
                <w:rFonts w:ascii="Verdana"/>
                <w:color w:val="000000"/>
                <w:sz w:val="20"/>
                <w:szCs w:val="26"/>
                <w:rtl w:val="off"/>
                <w:lang w:val="en-US"/>
              </w:rPr>
              <w:t xml:space="preserve">Завтрак. </w:t>
            </w:r>
            <w:r>
              <w:rPr>
                <w:rFonts w:ascii="Verdana"/>
                <w:b/>
                <w:color w:val="000000"/>
                <w:sz w:val="20"/>
                <w:szCs w:val="26"/>
                <w:rtl w:val="off"/>
                <w:lang w:val="en-US"/>
              </w:rPr>
              <w:t>Экскурсия «Наследие Великой Ганзы» с посещением городов</w:t>
            </w:r>
            <w:r>
              <w:rPr>
                <w:rFonts w:ascii="Verdana"/>
                <w:color w:val="000000"/>
                <w:sz w:val="20"/>
                <w:szCs w:val="26"/>
                <w:rtl w:val="off"/>
                <w:lang w:val="en-US"/>
              </w:rPr>
              <w:t xml:space="preserve"> </w:t>
            </w:r>
            <w:r>
              <w:rPr>
                <w:rFonts w:ascii="Verdana"/>
                <w:b/>
                <w:color w:val="000000"/>
                <w:sz w:val="20"/>
                <w:szCs w:val="26"/>
                <w:rtl w:val="off"/>
                <w:lang w:val="en-US"/>
              </w:rPr>
              <w:t>Висмар и Любек.</w:t>
            </w:r>
          </w:p>
          <w:p w14:paraId="00000024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Verdana"/>
                <w:color w:val="000000"/>
                <w:sz w:val="20"/>
                <w:szCs w:val="26"/>
                <w:lang w:val="en-US"/>
              </w:rPr>
            </w:pPr>
            <w:r>
              <w:rPr>
                <w:rFonts w:ascii="Verdana"/>
                <w:color w:val="000000"/>
                <w:sz w:val="20"/>
                <w:szCs w:val="26"/>
                <w:rtl w:val="off"/>
                <w:lang w:val="en-US"/>
              </w:rPr>
              <w:t xml:space="preserve">Выезд в </w:t>
            </w:r>
            <w:r>
              <w:rPr>
                <w:rFonts w:ascii="Verdana"/>
                <w:b/>
                <w:color w:val="000000"/>
                <w:sz w:val="20"/>
                <w:szCs w:val="26"/>
                <w:rtl w:val="off"/>
                <w:lang w:val="en-US"/>
              </w:rPr>
              <w:t xml:space="preserve">Висмар – </w:t>
            </w:r>
            <w:r>
              <w:rPr>
                <w:rFonts w:ascii="Verdana"/>
                <w:color w:val="000000"/>
                <w:sz w:val="20"/>
                <w:szCs w:val="26"/>
                <w:rtl w:val="off"/>
                <w:lang w:val="en-US"/>
              </w:rPr>
              <w:t>старинный ганзейский порт на Балтике (памятник Юнеско), неофициальная «селёдочная столица» Германии. Город веками торговал селёдкой и варил пиво, более 150 лет он принадлежал Швеции. Нетронутые войной, в нём хорошо сохранились старый порт и средневековый центр города. Обзорная экскурсия по городу: старая портовая гавань, исторический канал Frische Grube, рыночная площадь, дом бургомистра Шабеля, церковь Святого Николая, дом шведского губернатора и др. Свободное время для посещения Рождественского рынка.</w:t>
            </w:r>
          </w:p>
          <w:p w14:paraId="00000025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Verdana"/>
                <w:color w:val="000000"/>
                <w:sz w:val="20"/>
                <w:szCs w:val="26"/>
                <w:lang w:val="en-US"/>
              </w:rPr>
            </w:pPr>
            <w:r>
              <w:rPr>
                <w:rFonts w:ascii="Verdana"/>
                <w:color w:val="000000"/>
                <w:sz w:val="20"/>
                <w:szCs w:val="26"/>
                <w:rtl w:val="off"/>
                <w:lang w:val="en-US"/>
              </w:rPr>
              <w:t xml:space="preserve">Переезд в </w:t>
            </w:r>
            <w:r>
              <w:rPr>
                <w:rFonts w:ascii="Verdana"/>
                <w:b/>
                <w:color w:val="000000"/>
                <w:sz w:val="20"/>
                <w:szCs w:val="26"/>
                <w:rtl w:val="off"/>
                <w:lang w:val="en-US"/>
              </w:rPr>
              <w:t>Любек</w:t>
            </w:r>
            <w:r>
              <w:rPr>
                <w:rFonts w:ascii="Verdana"/>
                <w:color w:val="000000"/>
                <w:sz w:val="20"/>
                <w:szCs w:val="26"/>
                <w:rtl w:val="off"/>
                <w:lang w:val="en-US"/>
              </w:rPr>
              <w:t xml:space="preserve"> – древнюю столицу Ганзы (памятник Юнеско). Обзорная экскурсия по городу: Гольштинские ворота, Ратушная площадь, музей марципана Niederegger, Собор Святой Марии, дом Будденброков и др. Свободное время для посещения Рождественского рынка, рождественских и новогодних покупок.</w:t>
            </w:r>
          </w:p>
          <w:p w14:paraId="00000026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Verdana"/>
                <w:color w:val="000000"/>
                <w:sz w:val="20"/>
                <w:szCs w:val="26"/>
                <w:lang w:val="en-US"/>
              </w:rPr>
            </w:pPr>
            <w:r>
              <w:rPr>
                <w:rFonts w:ascii="Verdana"/>
                <w:color w:val="000000"/>
                <w:sz w:val="20"/>
                <w:szCs w:val="26"/>
                <w:rtl w:val="off"/>
                <w:lang w:val="en-US"/>
              </w:rPr>
              <w:t>Ночлег в Германии.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27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Verdana"/>
                <w:color w:val="000000"/>
                <w:sz w:val="20"/>
                <w:szCs w:val="26"/>
                <w:lang w:val="en-US"/>
              </w:rPr>
            </w:pPr>
            <w:r>
              <w:rPr>
                <w:rFonts w:ascii="Verdana"/>
                <w:b/>
                <w:color w:val="000000"/>
                <w:sz w:val="20"/>
                <w:szCs w:val="26"/>
                <w:rtl w:val="off"/>
                <w:lang w:val="en-US"/>
              </w:rPr>
              <w:t>4 день:</w:t>
            </w:r>
          </w:p>
          <w:p w14:paraId="00000028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Verdana"/>
                <w:color w:val="000000"/>
                <w:sz w:val="20"/>
                <w:szCs w:val="26"/>
                <w:lang w:val="en-US"/>
              </w:rPr>
            </w:pPr>
            <w:r>
              <w:rPr>
                <w:rFonts w:ascii="Verdana"/>
                <w:b/>
                <w:color w:val="000000"/>
                <w:sz w:val="20"/>
                <w:szCs w:val="26"/>
                <w:rtl w:val="off"/>
                <w:lang w:val="en-US"/>
              </w:rPr>
              <w:t>12.12.26</w:t>
            </w:r>
          </w:p>
        </w:tc>
        <w:tc>
          <w:tcPr>
            <w:cnfStyle w:val="000001000000"/>
            <w:tcW w:w="9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29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Verdana"/>
                <w:color w:val="000000"/>
                <w:sz w:val="20"/>
                <w:szCs w:val="26"/>
                <w:lang w:val="en-US"/>
              </w:rPr>
            </w:pPr>
            <w:r>
              <w:rPr>
                <w:rFonts w:ascii="Verdana"/>
                <w:color w:val="000000"/>
                <w:sz w:val="20"/>
                <w:szCs w:val="26"/>
                <w:rtl w:val="off"/>
                <w:lang w:val="en-US"/>
              </w:rPr>
              <w:t xml:space="preserve">Завтрак. Выезд в </w:t>
            </w:r>
            <w:r>
              <w:rPr>
                <w:rFonts w:ascii="Verdana"/>
                <w:b/>
                <w:color w:val="000000"/>
                <w:sz w:val="20"/>
                <w:szCs w:val="26"/>
                <w:rtl w:val="off"/>
                <w:lang w:val="en-US"/>
              </w:rPr>
              <w:t xml:space="preserve">Гамбург </w:t>
            </w:r>
            <w:r>
              <w:rPr>
                <w:rFonts w:ascii="Verdana"/>
                <w:color w:val="000000"/>
                <w:sz w:val="20"/>
                <w:szCs w:val="26"/>
                <w:rtl w:val="off"/>
                <w:lang w:val="en-US"/>
              </w:rPr>
              <w:t>– крупнейший город-порт Германии, расположенный на реке Эльба. В этом большом, празднично украшенном к Рождеству городе мы проведём 9 часов. Обзорная экскурсия по городу: район Шпайхерштадт (Юнеско), современный Hafen City, Эльбская филармония, прогулка на речном трамвае по Эльбе (по желанию, билет 8 евро), церковь Святого Михаэля и «вдовий квартал», Гамбургская Ратуша с Рождественской деревней и др.</w:t>
            </w:r>
          </w:p>
          <w:p w14:paraId="0000002A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Verdana"/>
                <w:color w:val="000000"/>
                <w:sz w:val="20"/>
                <w:szCs w:val="26"/>
                <w:lang w:val="en-US"/>
              </w:rPr>
            </w:pPr>
            <w:r>
              <w:rPr>
                <w:rFonts w:ascii="Verdana"/>
                <w:color w:val="000000"/>
                <w:sz w:val="20"/>
                <w:szCs w:val="26"/>
                <w:rtl w:val="off"/>
                <w:lang w:val="en-US"/>
              </w:rPr>
              <w:t>Свободное время для посещения Рождественских рынков и магазинов, обязательно стоит посмотреть на Рождественский парад Санта Клаусов и сказочный героев, а также увидеть Летающего Санту на Ратушной площади.</w:t>
            </w:r>
          </w:p>
          <w:p w14:paraId="0000002B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Verdana"/>
                <w:color w:val="000000"/>
                <w:sz w:val="20"/>
                <w:szCs w:val="26"/>
                <w:lang w:val="en-US"/>
              </w:rPr>
            </w:pPr>
            <w:r>
              <w:rPr>
                <w:rFonts w:ascii="Verdana"/>
                <w:color w:val="000000"/>
                <w:sz w:val="20"/>
                <w:szCs w:val="26"/>
                <w:rtl w:val="off"/>
                <w:lang w:val="en-US"/>
              </w:rPr>
              <w:t>Во второй половине дня выезд в Польшу (время выезда указывает гид группы). Ночной переезд.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2C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Verdana"/>
                <w:color w:val="000000"/>
                <w:sz w:val="20"/>
                <w:szCs w:val="26"/>
                <w:lang w:val="en-US"/>
              </w:rPr>
            </w:pPr>
            <w:r>
              <w:rPr>
                <w:rFonts w:ascii="Verdana"/>
                <w:b/>
                <w:color w:val="000000"/>
                <w:sz w:val="20"/>
                <w:szCs w:val="26"/>
                <w:rtl w:val="off"/>
                <w:lang w:val="en-US"/>
              </w:rPr>
              <w:t>5 день:</w:t>
            </w:r>
          </w:p>
          <w:p w14:paraId="0000002D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Verdana"/>
                <w:color w:val="000000"/>
                <w:sz w:val="20"/>
                <w:szCs w:val="26"/>
                <w:lang w:val="en-US"/>
              </w:rPr>
            </w:pPr>
            <w:r>
              <w:rPr>
                <w:rFonts w:ascii="Verdana"/>
                <w:b/>
                <w:color w:val="000000"/>
                <w:sz w:val="20"/>
                <w:szCs w:val="26"/>
                <w:rtl w:val="off"/>
                <w:lang w:val="en-US"/>
              </w:rPr>
              <w:t>13.12.26</w:t>
            </w:r>
          </w:p>
        </w:tc>
        <w:tc>
          <w:tcPr>
            <w:cnfStyle w:val="000001000000"/>
            <w:tcW w:w="9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00002E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Verdana"/>
                <w:color w:val="000000"/>
                <w:sz w:val="20"/>
                <w:szCs w:val="26"/>
                <w:lang w:val="en-US"/>
              </w:rPr>
            </w:pPr>
            <w:r>
              <w:rPr>
                <w:rFonts w:ascii="Verdana"/>
                <w:color w:val="000000"/>
                <w:sz w:val="20"/>
                <w:szCs w:val="26"/>
                <w:rtl w:val="off"/>
                <w:lang w:val="en-US"/>
              </w:rPr>
              <w:t>Прибытие в Минск по второй половине дня.</w:t>
            </w:r>
          </w:p>
        </w:tc>
      </w:tr>
    </w:tbl>
    <w:p w14:paraId="0000002F">
      <w:pPr>
        <w:rPr>
          <w:sz w:val="26"/>
          <w:szCs w:val="26"/>
        </w:rPr>
      </w:pPr>
    </w:p>
    <w:sectPr>
      <w:footnotePr/>
      <w:footnotePr/>
      <w:type w:val="nextPage"/>
      <w:pgSz w:w="11906" w:h="16838" w:orient="portrait"/>
      <w:pgMar w:top="720" w:right="720" w:bottom="720" w:left="72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footnotePr/>
  <w:endnotePr/>
  <w:themeFontLang w:val="ru-RU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noxangroup</dc:creator>
  <cp:lastModifiedBy>maria noxangroup</cp:lastModifiedBy>
</cp:coreProperties>
</file>